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5" w:rsidRPr="00F01135" w:rsidRDefault="00F01135" w:rsidP="00F01135">
      <w:pPr>
        <w:spacing w:line="360" w:lineRule="auto"/>
        <w:jc w:val="center"/>
        <w:rPr>
          <w:rFonts w:ascii="Tahoma" w:eastAsia="Times New Roman" w:hAnsi="Tahoma" w:cs="Tahoma"/>
          <w:color w:val="2C2C29"/>
          <w:sz w:val="15"/>
          <w:szCs w:val="15"/>
        </w:rPr>
      </w:pPr>
      <w:r w:rsidRPr="00F01135">
        <w:rPr>
          <w:rFonts w:ascii="Arial" w:eastAsia="Times New Roman" w:hAnsi="Arial" w:cs="Arial" w:hint="cs"/>
          <w:b/>
          <w:bCs/>
          <w:color w:val="FF0000"/>
          <w:szCs w:val="20"/>
          <w:rtl/>
        </w:rPr>
        <w:t>دستورالعمل نحوه تشکیل و وظایف واحدهای بازرسی و نظارت اتاق های اصناف و چگونگی نظارت اتاق اصناف ایران بر عملکرد آنها</w:t>
      </w:r>
    </w:p>
    <w:p w:rsidR="00F01135" w:rsidRPr="00F01135" w:rsidRDefault="00F01135" w:rsidP="00F01135">
      <w:pPr>
        <w:spacing w:line="360" w:lineRule="auto"/>
        <w:jc w:val="center"/>
        <w:rPr>
          <w:rFonts w:ascii="Tahoma" w:eastAsia="Times New Roman" w:hAnsi="Tahoma" w:cs="Tahoma"/>
          <w:color w:val="2C2C29"/>
          <w:sz w:val="15"/>
          <w:szCs w:val="15"/>
          <w:rtl/>
        </w:rPr>
      </w:pPr>
    </w:p>
    <w:p w:rsidR="00F01135" w:rsidRPr="00F01135" w:rsidRDefault="00F01135" w:rsidP="00F01135">
      <w:pPr>
        <w:spacing w:line="360" w:lineRule="auto"/>
        <w:jc w:val="center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F01135">
        <w:rPr>
          <w:rFonts w:ascii="Arial" w:eastAsia="Times New Roman" w:hAnsi="Arial" w:cs="Arial" w:hint="cs"/>
          <w:color w:val="FF0000"/>
          <w:sz w:val="20"/>
          <w:szCs w:val="20"/>
          <w:shd w:val="clear" w:color="auto" w:fill="CCFFFF"/>
          <w:rtl/>
        </w:rPr>
        <w:t>(موضوع بندهای (ش) ماده "۳۷" و ۶</w:t>
      </w:r>
      <w:r w:rsidRPr="00F01135">
        <w:rPr>
          <w:rFonts w:ascii="Arial" w:eastAsia="Times New Roman" w:hAnsi="Arial" w:cs="Arial" w:hint="cs"/>
          <w:color w:val="FF0000"/>
          <w:sz w:val="20"/>
        </w:rPr>
        <w:t> </w:t>
      </w:r>
      <w:r w:rsidRPr="00F01135">
        <w:rPr>
          <w:rFonts w:ascii="Arial" w:eastAsia="Times New Roman" w:hAnsi="Arial" w:cs="Arial" w:hint="cs"/>
          <w:color w:val="FF0000"/>
          <w:sz w:val="20"/>
          <w:szCs w:val="20"/>
          <w:shd w:val="clear" w:color="auto" w:fill="CCFFFF"/>
          <w:rtl/>
        </w:rPr>
        <w:t>ماده "۴۵" قانون نظام صنفی)</w:t>
      </w:r>
    </w:p>
    <w:p w:rsidR="00F01135" w:rsidRPr="00F01135" w:rsidRDefault="00F01135" w:rsidP="00F01135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F01135">
        <w:rPr>
          <w:rFonts w:ascii="Arial" w:eastAsia="Times New Roman" w:hAnsi="Arial" w:cs="Arial" w:hint="cs"/>
          <w:b/>
          <w:bCs/>
          <w:color w:val="2C2C29"/>
          <w:rtl/>
        </w:rPr>
        <w:t>تعاریف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۱- تعاریف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الف- قانون: قانون نظام صنفی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ب- بازرس: بازرس فردی است که با پیشنهاد هیات رییسه اتاق اصناف هر شهرستان توسط کمیسیون نظارت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در چارچوب مقررارت این دستورالعمل تعیین می شود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ج- مدیر واحد بازرسی و نظارت: فردی است که توسط هیات رییسه اتاق اصناف شهرستان و با تایید معاونت بازرسی و نظارت اتاق اصناف در چارچوب مقررات این دستورالعمل تعیین می شود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نحوه تشکیل و وظایف واحد بازرسی و نظارت اتاق اصناف شهرستان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۲- واحد بازرسی و نظارت اتاق اصناف شهرستان، واحدی است که توسط اتاق ذی ربط به منظور نظارت و بازرسی بر واحدهای صنفی و رسیدگی به شکایات در چارچوب قانون نظام صنفی تشکیل می شود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تبصره- تعداد بازرسان مورد نیاز به پیشنهاد اتاق اصناف هر شهرستان و موافقت اتاق اصناف ایران برای مدت معین تعیین می گردند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۳- شرایط بکارگیری مدیر واحد بازرسی و نظارت و بازرسان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الف) نداشتن سوء پیشینه کیفری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ب) سلامت جسمی و روانی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ج) عدم اعتیاد به مواد مخدر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د) گواهی پایان خدمت نظام وظیفه یا معافیت دائم به استثناء معافیت پزشکی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ه) دارا بودن حداقل مدرک تحصیلی لیسانس در مراکز استان ها و فوق دیپلم در شهرستان ها برای بازرسان و داشتن حداقل لیسانس برای مدیر واحد بازرسی و نظارت ( در رشته های تحصیلی مرتبط به تشخیص اتاق ایران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و) حداکثر سن در زمان جذب برای بازرس ۳۵ سال و برای مدیر واحد بازرسی و نظارت ۵۵ سال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احراز شرایط فوق بر عهده هیات رییسه اتاق اصناف شهرستان می باشد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 ۱- بکارگیری بازرس زن برای بازرسی و نظارت بر واحدهای صنفی مختص بانوان الزامی است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 ۲- بکارگیری کارمندان اتحادیه ها و اتاق های اصناف در واحدهای بازرسی و نظارت به شرط منفک شدن از شغل قبلی، بلامانع می باشد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 ۳- انتصاب اعضای هیات مدیره اتحادیه ها و هیات رییسه اتاق های اصناف به عنوان مدیر واحد بازرسی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 نظارت ممنوع است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۴- وظایف و اختیارات واحد بازرسی و نظارت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بازرسی و نظارت بر واحدهای صنفی به منظور جلوگیری و بررسی تخلفات مربوط به فصل هشتم قانون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ارایه اطلاعات و آمار مورد نیاز از شبکه توزیع کالا و خدمات صنفی و همچنین تخلفات واحدهای صنفی به طور مستمر به اتاق اصناف ایران و کمیسیون نظارت ذی ربط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۳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شناسایی اقلام کالا و خدمات صنفی دارای اولویت برای قیمت گذاری مطابق با دستورالعمل موضوع بند (ط) ماده "۵۵" قانون، جهت اعلام به کمیسیون نظارت و یا اتاق اصناف ایران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۴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همکاری با بازرسان و ناظران کمیسیون نظارت، سازمان حمایت مصرف کنندگان و تولیدکنندگان و شعب تعزیرات حکومتی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lastRenderedPageBreak/>
        <w:t>۵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همکاری با اتحادیه های صنفی در شناسایی واحدهای صنفی بدون پروانه کسب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۵- نحوه بازرسی و نظارت بر واحدهای صنفی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بازرسی و نظارت بر نحوه عرضه کالا و خدمات صنفی دارای اولویت، برابر اعلام مراجع ذی صلاح در قالب تیم های حداقل دو نفره یا در شرایط خاص در قالب تیم های مشترک با بازرسان و ناظران کمیسیون نظارت، سازمان حمایت مصرف کنندگان و تولیدکنندگان و مسئولین شعب تعزیرات حکومتی (بازرس اولویت محور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بازرسی بر نحوه عرضه سایر کالا و خدمات صنفی براساس گزارش و شکایات (بازرسی شکایات محور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۶- نحوه تهیه و ارسال گزارش تخلفات به اتحادیه و شعب تعزیرات حکومتی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شکایت رسیده باید بلافاصله ثبت و کد رهیگری به شاکی ارایه شود. واحد بازرسی و نظارت موظف است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به منظور دریافت شکایات، تنظیم گزارشات بازرسی و ثبت شکایات وارده از نمونه فرم ها ونرم افزارهایی که توسط اتاق ایران ارایه می گردد، استفاده نماید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ارسال گزارش بازرس به اتحادیه مربوط (ظرف مدت سه روز) با امضاء رییس اتاق اصناف شهرستان و یا مدیر واحد بازرسی و نظارت (با داشتن تفویض اختیار رییس اتاق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۳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پیگیری اخذ نتیجه، طبق زمان مقرر در قانون از اتحادیه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تبصره- در صورت وصول گزارش اتحادیه موظف است حداکثر ظرف مدت ده روز موضوع را مورد بررسی قرار داده و در صورت احراز عدم تخلف فرد صنفی و یا انصراف شاکی، پرونده را مختومه نماید و نتیجه را ضمن اعلام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به شاکی و متشاکی به واحد بازرسی و نظارت نیز اعلام کند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۴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ارجاع گزارش تخلف به شعب تعزیرات حکومتی در صورت اعتراض شاکی به نظر اتحادیه یا احراز تخلف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واحد صنفی از سوی اتحادیه و یا در عدم پاسخگو بودن اتحادیه در زمان مقرر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چگونگی نظارت اتاق اصناف ایران بر واحدهای بازرسی و نظارت اتاق اصناف شهرستان¬ها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۷- اتاق اصناف ایران موظف است در اجرای بند (۶) ماده "۴۵" قانون به منظور مدیریت، سیاست گذاری،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برنامه ریزی و ایجاد هماهنگی و نظارت بر عملکرد واحدهای بازرسی و نظارت اتاق های اصناف در سطح کشور، نسبت به تشکیل معاونت بازرسی و نظارت اقدام نماید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تبصره- انتصاب معاون بازرسی و نظارت پس از پیشنهاد رییس اتاق اصناف ایران و تایید وزارت صنعت، معدن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 تجارت (معاون توسعه بازرگانی داخلی) بر عهده رییس اتاق اصناف ایران خواهد بود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۸- نحوه ایجاد هماهنگی و نظارت اتاق اصناف ایران بر عملکرد واحدهای بازرسی و نظارت اتاق ها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پیگیری و نظارت بر تشکیل و عملکرد واحدهای بازرسی و نظارت اتاق شهرستان ها و مراکز استان ها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تبصره- اتاق اصناف ایران می تواند از طریق واحدهای بازرسی و نظارت مراکز استان ها نسبت به هماهنگی بین واحدهای بازرسی و نظارت شهرستان های هر استان در چارچوب مقررات اقدام نماید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ارتقاء نظام بازرسی و نظارت بر واحدهای نصفی با استفاده از روش های کارآمد از جمله روش الکترونیکی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با همکاری دبیرخانه هیات عالی نظارت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۳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ایجاد هماهنگی و تعامل لازم بین واحدهای بازرسی و نظارت با سازمان حمایت مصرف کنندگان و تولید کنندگان و سازمان تعزیرات حکومتی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۴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دریافت گزارش عملکرد واحدهای بازرسی و نظارت استان ها و همچنین قیمت اقلام اساسی و ضروری آنها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به صورت هفتگی به منظور ارایه به معاونت توسعه بازرگانی داخلی و سازمان حمایت مصرف کنندگان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 تولیدکنندگان و سایر مسئولین ذی ربط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۵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شناسایی و تشویق واحدهای بازرسی و نظارت برتر استان ها براساس شاخص های ارزیابی عملکرد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</w:p>
    <w:p w:rsidR="00F01135" w:rsidRPr="00F01135" w:rsidRDefault="00F01135" w:rsidP="00F01135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F01135">
        <w:rPr>
          <w:rFonts w:ascii="Arial" w:eastAsia="Times New Roman" w:hAnsi="Arial" w:cs="Arial"/>
          <w:color w:val="2C2C29"/>
          <w:shd w:val="clear" w:color="auto" w:fill="CCFFFF"/>
        </w:rPr>
        <w:lastRenderedPageBreak/>
        <w:br/>
      </w:r>
      <w:r w:rsidRPr="00F01135">
        <w:rPr>
          <w:rFonts w:ascii="Arial" w:eastAsia="Times New Roman" w:hAnsi="Arial" w:cs="Arial" w:hint="cs"/>
          <w:b/>
          <w:bCs/>
          <w:color w:val="2C2C29"/>
          <w:rtl/>
        </w:rPr>
        <w:t>سایر مقررات</w:t>
      </w:r>
    </w:p>
    <w:p w:rsidR="00F01135" w:rsidRPr="00F01135" w:rsidRDefault="00F01135" w:rsidP="00F01135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۹- منابع مالی واحدهای بازرسی و نظارت عبارتند از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: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۱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از محل منابع مالی اتاق اصناف شهرستان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۲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-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از محل منابع مالی اتاق اصناف ایران از جمله درآمدهای ناشی از جرائم دریافتی (موضوع تبصره (۷) ماده "۷۲" قانون) متناسب با برنامه ها و عملکرد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از جمله تعداد پرونده های متشکله و میزان ارزش ریالی تخلفات) مطابق ماده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"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۶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"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آیین نامه اجرایی ماده "۴۷" قانون و وجوه دریافتی بابت صدور و تمدید پروانه کسب (موضوع تبصره (۱) ماده "۳۱" قانون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(.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تبصره- اتاق اصناف شهرستان ها موظفند، معادل وجوه مذکور را در بودجه سنواتی پیش بینی تا پس از تصویب کمیسیون نظارت و تامین اعتبار هزینه نمایند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۱۰- دروه های آموزشی ویژه بازرسان توسط سازمان تعزیرات حکومتی و برای سایر دوره های مورد نیاز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از جمله برای مدیران واحدهای بازرسی و نظارت از طریق اتاق اصناف شهرستان ها با هماهنگی اتاق اصناف ایران برگزار می گردد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۱۱- رسیدگی به تخلفات مدیر واحد بازرسی و نظارت و بازرسان بر عهده هیات رییسه اتاق اصناف شهرستان خواهد بود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  <w:r w:rsidRPr="00F01135">
        <w:rPr>
          <w:rFonts w:ascii="Arial" w:eastAsia="Times New Roman" w:hAnsi="Arial" w:cs="Arial"/>
          <w:color w:val="2C2C29"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ماده ۱۲- این دستورالعمل در اجرای بند (ش) ماده "۳۷" و بند (۶) ماده "۴۵" قانون نظام صنفی مشتمل بر ۱۲ ماده</w:t>
      </w:r>
      <w:r w:rsidRPr="00F01135">
        <w:rPr>
          <w:rFonts w:ascii="Arial" w:eastAsia="Times New Roman" w:hAnsi="Arial" w:cs="Arial" w:hint="cs"/>
          <w:color w:val="2C2C29"/>
          <w:rtl/>
        </w:rPr>
        <w:t> 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br/>
      </w:r>
      <w:r w:rsidRPr="00F01135">
        <w:rPr>
          <w:rFonts w:ascii="Arial" w:eastAsia="Times New Roman" w:hAnsi="Arial" w:cs="Arial" w:hint="cs"/>
          <w:color w:val="2C2C29"/>
          <w:shd w:val="clear" w:color="auto" w:fill="CCFFFF"/>
          <w:rtl/>
        </w:rPr>
        <w:t>و ۸ تبصره با همکاری دبیرخانه هیات عالی نظارت و اتاق اصناف ایران تهیه و در تاریخ ۲۵/۱۰/۱۳۹۳ به تصویب وزیر صنعت، معدن و تجارت رسید</w:t>
      </w:r>
      <w:r w:rsidRPr="00F01135">
        <w:rPr>
          <w:rFonts w:ascii="Arial" w:eastAsia="Times New Roman" w:hAnsi="Arial" w:cs="Arial"/>
          <w:color w:val="2C2C29"/>
          <w:shd w:val="clear" w:color="auto" w:fill="CCFFFF"/>
        </w:rPr>
        <w:t>.</w:t>
      </w:r>
    </w:p>
    <w:p w:rsidR="00CF53E3" w:rsidRDefault="00CF53E3" w:rsidP="00F01135">
      <w:pPr>
        <w:spacing w:line="360" w:lineRule="auto"/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1135"/>
    <w:rsid w:val="003B2C73"/>
    <w:rsid w:val="00BD5E33"/>
    <w:rsid w:val="00CF53E3"/>
    <w:rsid w:val="00D45D0E"/>
    <w:rsid w:val="00F0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135"/>
    <w:rPr>
      <w:b/>
      <w:bCs/>
    </w:rPr>
  </w:style>
  <w:style w:type="character" w:customStyle="1" w:styleId="apple-converted-space">
    <w:name w:val="apple-converted-space"/>
    <w:basedOn w:val="DefaultParagraphFont"/>
    <w:rsid w:val="00F0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2015-03-03T13:05:00Z</dcterms:created>
  <dcterms:modified xsi:type="dcterms:W3CDTF">2015-03-03T13:06:00Z</dcterms:modified>
</cp:coreProperties>
</file>